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441A7">
      <w:pPr>
        <w:snapToGrid w:val="0"/>
        <w:spacing w:line="560" w:lineRule="exact"/>
        <w:jc w:val="left"/>
        <w:rPr>
          <w:rFonts w:ascii="Times New Roman" w:hAnsi="Times New Roman" w:eastAsia="仿宋_GB2312" w:cs="宋体"/>
          <w:color w:val="000000"/>
          <w:kern w:val="0"/>
          <w:sz w:val="32"/>
          <w:szCs w:val="32"/>
        </w:rPr>
      </w:pPr>
      <w:r>
        <w:rPr>
          <w:rFonts w:hint="eastAsia" w:ascii="黑体" w:hAnsi="黑体" w:eastAsia="黑体" w:cs="宋体"/>
          <w:color w:val="000000"/>
          <w:kern w:val="0"/>
          <w:sz w:val="32"/>
          <w:szCs w:val="32"/>
        </w:rPr>
        <w:t>附件</w:t>
      </w:r>
      <w:r>
        <w:rPr>
          <w:rFonts w:hint="eastAsia" w:ascii="Times New Roman" w:hAnsi="Times New Roman" w:eastAsia="仿宋_GB2312" w:cs="宋体"/>
          <w:color w:val="000000"/>
          <w:kern w:val="0"/>
          <w:sz w:val="32"/>
          <w:szCs w:val="32"/>
        </w:rPr>
        <w:t>1</w:t>
      </w:r>
    </w:p>
    <w:p w14:paraId="4EF9E8DE">
      <w:pPr>
        <w:snapToGrid w:val="0"/>
        <w:spacing w:line="560" w:lineRule="exact"/>
        <w:jc w:val="left"/>
        <w:rPr>
          <w:rFonts w:ascii="Times New Roman" w:hAnsi="Times New Roman" w:eastAsia="仿宋_GB2312" w:cs="宋体"/>
          <w:color w:val="000000"/>
          <w:kern w:val="0"/>
          <w:sz w:val="32"/>
          <w:szCs w:val="32"/>
        </w:rPr>
      </w:pPr>
    </w:p>
    <w:p w14:paraId="64676330">
      <w:pPr>
        <w:snapToGrid w:val="0"/>
        <w:spacing w:line="560" w:lineRule="exact"/>
        <w:jc w:val="center"/>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课题申报指南</w:t>
      </w:r>
    </w:p>
    <w:p w14:paraId="23056C9B">
      <w:pPr>
        <w:snapToGrid w:val="0"/>
        <w:spacing w:line="560" w:lineRule="exact"/>
        <w:jc w:val="center"/>
        <w:rPr>
          <w:rFonts w:ascii="Times New Roman" w:hAnsi="Times New Roman" w:eastAsia="方正小标宋简体"/>
          <w:color w:val="000000" w:themeColor="text1"/>
          <w:sz w:val="44"/>
          <w:szCs w:val="44"/>
          <w14:textFill>
            <w14:solidFill>
              <w14:schemeClr w14:val="tx1"/>
            </w14:solidFill>
          </w14:textFill>
        </w:rPr>
      </w:pPr>
    </w:p>
    <w:p w14:paraId="22244DC1">
      <w:pPr>
        <w:spacing w:line="560" w:lineRule="exact"/>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一</w:t>
      </w:r>
      <w:r>
        <w:rPr>
          <w:rFonts w:ascii="黑体" w:hAnsi="黑体" w:eastAsia="黑体"/>
          <w:bCs/>
          <w:color w:val="000000" w:themeColor="text1"/>
          <w:sz w:val="32"/>
          <w:szCs w:val="32"/>
          <w14:textFill>
            <w14:solidFill>
              <w14:schemeClr w14:val="tx1"/>
            </w14:solidFill>
          </w14:textFill>
        </w:rPr>
        <w:t>、</w:t>
      </w:r>
      <w:r>
        <w:rPr>
          <w:rFonts w:hint="eastAsia" w:ascii="黑体" w:hAnsi="黑体" w:eastAsia="黑体"/>
          <w:bCs/>
          <w:color w:val="000000" w:themeColor="text1"/>
          <w:sz w:val="32"/>
          <w:szCs w:val="32"/>
          <w14:textFill>
            <w14:solidFill>
              <w14:schemeClr w14:val="tx1"/>
            </w14:solidFill>
          </w14:textFill>
        </w:rPr>
        <w:t>课题</w:t>
      </w:r>
      <w:r>
        <w:rPr>
          <w:rFonts w:ascii="黑体" w:hAnsi="黑体" w:eastAsia="黑体"/>
          <w:bCs/>
          <w:color w:val="000000" w:themeColor="text1"/>
          <w:sz w:val="32"/>
          <w:szCs w:val="32"/>
          <w14:textFill>
            <w14:solidFill>
              <w14:schemeClr w14:val="tx1"/>
            </w14:solidFill>
          </w14:textFill>
        </w:rPr>
        <w:t>申报内容</w:t>
      </w:r>
    </w:p>
    <w:p w14:paraId="338EAAB3">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本次研究聚焦</w:t>
      </w:r>
      <w:r>
        <w:rPr>
          <w:rFonts w:ascii="Times New Roman" w:hAnsi="Times New Roman" w:eastAsia="仿宋_GB2312"/>
          <w:color w:val="000000" w:themeColor="text1"/>
          <w:sz w:val="32"/>
          <w:szCs w:val="32"/>
          <w14:textFill>
            <w14:solidFill>
              <w14:schemeClr w14:val="tx1"/>
            </w14:solidFill>
          </w14:textFill>
        </w:rPr>
        <w:t>产教融合</w:t>
      </w:r>
      <w:r>
        <w:rPr>
          <w:rFonts w:hint="eastAsia" w:ascii="Times New Roman" w:hAnsi="Times New Roman" w:eastAsia="仿宋_GB2312"/>
          <w:color w:val="000000" w:themeColor="text1"/>
          <w:sz w:val="32"/>
          <w:szCs w:val="32"/>
          <w14:textFill>
            <w14:solidFill>
              <w14:schemeClr w14:val="tx1"/>
            </w14:solidFill>
          </w14:textFill>
        </w:rPr>
        <w:t>和</w:t>
      </w:r>
      <w:r>
        <w:rPr>
          <w:rFonts w:ascii="Times New Roman" w:hAnsi="Times New Roman" w:eastAsia="仿宋_GB2312"/>
          <w:color w:val="000000" w:themeColor="text1"/>
          <w:sz w:val="32"/>
          <w:szCs w:val="32"/>
          <w14:textFill>
            <w14:solidFill>
              <w14:schemeClr w14:val="tx1"/>
            </w14:solidFill>
          </w14:textFill>
        </w:rPr>
        <w:t>助推新质生产力发展</w:t>
      </w:r>
      <w:r>
        <w:rPr>
          <w:rFonts w:hint="eastAsia" w:ascii="Times New Roman" w:hAnsi="Times New Roman" w:eastAsia="仿宋_GB2312"/>
          <w:color w:val="000000" w:themeColor="text1"/>
          <w:sz w:val="32"/>
          <w:szCs w:val="32"/>
          <w14:textFill>
            <w14:solidFill>
              <w14:schemeClr w14:val="tx1"/>
            </w14:solidFill>
          </w14:textFill>
        </w:rPr>
        <w:t>，主要围绕科教融汇、职普融通、高质量就业、新技术应用四个方向，可以选择下方</w:t>
      </w:r>
      <w:r>
        <w:rPr>
          <w:rFonts w:ascii="Times New Roman" w:hAnsi="Times New Roman" w:eastAsia="仿宋_GB2312"/>
          <w:color w:val="000000" w:themeColor="text1"/>
          <w:sz w:val="32"/>
          <w:szCs w:val="32"/>
          <w14:textFill>
            <w14:solidFill>
              <w14:schemeClr w14:val="tx1"/>
            </w14:solidFill>
          </w14:textFill>
        </w:rPr>
        <w:t>列出的题目申报，也可</w:t>
      </w:r>
      <w:r>
        <w:rPr>
          <w:rFonts w:hint="eastAsia" w:ascii="Times New Roman" w:hAnsi="Times New Roman" w:eastAsia="仿宋_GB2312"/>
          <w:color w:val="000000" w:themeColor="text1"/>
          <w:sz w:val="32"/>
          <w:szCs w:val="32"/>
          <w14:textFill>
            <w14:solidFill>
              <w14:schemeClr w14:val="tx1"/>
            </w14:solidFill>
          </w14:textFill>
        </w:rPr>
        <w:t>选择一个</w:t>
      </w:r>
      <w:r>
        <w:rPr>
          <w:rFonts w:ascii="Times New Roman" w:hAnsi="Times New Roman" w:eastAsia="仿宋_GB2312"/>
          <w:color w:val="000000" w:themeColor="text1"/>
          <w:sz w:val="32"/>
          <w:szCs w:val="32"/>
          <w14:textFill>
            <w14:solidFill>
              <w14:schemeClr w14:val="tx1"/>
            </w14:solidFill>
          </w14:textFill>
        </w:rPr>
        <w:t>方向自拟题目</w:t>
      </w:r>
      <w:r>
        <w:rPr>
          <w:rFonts w:hint="eastAsia" w:ascii="Times New Roman" w:hAnsi="Times New Roman" w:eastAsia="仿宋_GB2312"/>
          <w:color w:val="000000" w:themeColor="text1"/>
          <w:sz w:val="32"/>
          <w:szCs w:val="32"/>
          <w14:textFill>
            <w14:solidFill>
              <w14:schemeClr w14:val="tx1"/>
            </w14:solidFill>
          </w14:textFill>
        </w:rPr>
        <w:t>申报</w:t>
      </w:r>
      <w:r>
        <w:rPr>
          <w:rFonts w:ascii="Times New Roman" w:hAnsi="Times New Roman" w:eastAsia="仿宋_GB2312"/>
          <w:color w:val="000000" w:themeColor="text1"/>
          <w:sz w:val="32"/>
          <w:szCs w:val="32"/>
          <w14:textFill>
            <w14:solidFill>
              <w14:schemeClr w14:val="tx1"/>
            </w14:solidFill>
          </w14:textFill>
        </w:rPr>
        <w:t>。</w:t>
      </w:r>
    </w:p>
    <w:p w14:paraId="6ECA92B4">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（一）科教融汇方向</w:t>
      </w:r>
    </w:p>
    <w:p w14:paraId="6C6AE94A">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1.高校重点实验室服务基础教育路径研究</w:t>
      </w:r>
    </w:p>
    <w:p w14:paraId="5C84BD4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2.虚拟仿真技术赋能科教融合实践教学</w:t>
      </w:r>
    </w:p>
    <w:p w14:paraId="6B5E67AB">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3.科教融汇视域下拔尖创新人才培养</w:t>
      </w:r>
    </w:p>
    <w:p w14:paraId="1FBBF645">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4.科研大数据支持精准教学模式研究</w:t>
      </w:r>
    </w:p>
    <w:p w14:paraId="08E38551">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5.科学家精神融入思政教育实践路径研究</w:t>
      </w:r>
    </w:p>
    <w:p w14:paraId="1B7E3C82">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6.医学领域产学研用、交叉融合项目以及规模化应用研究</w:t>
      </w:r>
    </w:p>
    <w:p w14:paraId="54E41706">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7.儿童、青少年</w:t>
      </w:r>
      <w:bookmarkStart w:id="0" w:name="OLE_LINK13"/>
      <w:r>
        <w:rPr>
          <w:rFonts w:hint="eastAsia" w:ascii="Times New Roman" w:hAnsi="Times New Roman" w:eastAsia="仿宋_GB2312"/>
          <w:color w:val="000000" w:themeColor="text1"/>
          <w:sz w:val="32"/>
          <w:szCs w:val="32"/>
          <w14:textFill>
            <w14:solidFill>
              <w14:schemeClr w14:val="tx1"/>
            </w14:solidFill>
          </w14:textFill>
        </w:rPr>
        <w:t>心理健康与人工智能、机器人</w:t>
      </w:r>
      <w:bookmarkEnd w:id="0"/>
    </w:p>
    <w:p w14:paraId="4D542C2D">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8.儿童、青少年体育运动与人工智能、机器人</w:t>
      </w:r>
    </w:p>
    <w:p w14:paraId="312FA2E0">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9.儿童、青少年精准营养与人工智能、机器人</w:t>
      </w:r>
    </w:p>
    <w:p w14:paraId="20992023">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w:t>
      </w:r>
      <w:bookmarkStart w:id="1" w:name="OLE_LINK15"/>
      <w:bookmarkStart w:id="2" w:name="OLE_LINK16"/>
      <w:r>
        <w:rPr>
          <w:rFonts w:hint="eastAsia" w:ascii="Times New Roman" w:hAnsi="Times New Roman" w:eastAsia="仿宋_GB2312"/>
          <w:color w:val="000000" w:themeColor="text1"/>
          <w:sz w:val="32"/>
          <w:szCs w:val="32"/>
          <w14:textFill>
            <w14:solidFill>
              <w14:schemeClr w14:val="tx1"/>
            </w14:solidFill>
          </w14:textFill>
        </w:rPr>
        <w:t>职普融通</w:t>
      </w:r>
      <w:bookmarkEnd w:id="1"/>
      <w:bookmarkEnd w:id="2"/>
      <w:r>
        <w:rPr>
          <w:rFonts w:hint="eastAsia" w:ascii="Times New Roman" w:hAnsi="Times New Roman" w:eastAsia="仿宋_GB2312"/>
          <w:color w:val="000000" w:themeColor="text1"/>
          <w:sz w:val="32"/>
          <w:szCs w:val="32"/>
          <w14:textFill>
            <w14:solidFill>
              <w14:schemeClr w14:val="tx1"/>
            </w14:solidFill>
          </w14:textFill>
        </w:rPr>
        <w:t>方向</w:t>
      </w:r>
    </w:p>
    <w:p w14:paraId="2D729F4E">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bookmarkStart w:id="3" w:name="OLE_LINK14"/>
      <w:r>
        <w:rPr>
          <w:rFonts w:hint="eastAsia" w:ascii="Times New Roman" w:hAnsi="Times New Roman" w:eastAsia="仿宋_GB2312"/>
          <w:color w:val="000000" w:themeColor="text1"/>
          <w:sz w:val="32"/>
          <w:szCs w:val="32"/>
          <w14:textFill>
            <w14:solidFill>
              <w14:schemeClr w14:val="tx1"/>
            </w14:solidFill>
          </w14:textFill>
        </w:rPr>
        <w:t>职普教育学分互认</w:t>
      </w:r>
      <w:bookmarkEnd w:id="3"/>
      <w:r>
        <w:rPr>
          <w:rFonts w:hint="eastAsia" w:ascii="Times New Roman" w:hAnsi="Times New Roman" w:eastAsia="仿宋_GB2312"/>
          <w:color w:val="000000" w:themeColor="text1"/>
          <w:sz w:val="32"/>
          <w:szCs w:val="32"/>
          <w14:textFill>
            <w14:solidFill>
              <w14:schemeClr w14:val="tx1"/>
            </w14:solidFill>
          </w14:textFill>
        </w:rPr>
        <w:t>与课程互通标准体系</w:t>
      </w:r>
    </w:p>
    <w:p w14:paraId="21563CD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2.综合高中“学术+技能”融合培养模式创新</w:t>
      </w:r>
    </w:p>
    <w:p w14:paraId="0468E537">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3.职业技能等级证书与学历教育衔接机制</w:t>
      </w:r>
    </w:p>
    <w:p w14:paraId="472E320B">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4.职普融通数字化资源共享平台构建</w:t>
      </w:r>
    </w:p>
    <w:p w14:paraId="52429946">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w:t>
      </w:r>
      <w:bookmarkStart w:id="4" w:name="OLE_LINK17"/>
      <w:r>
        <w:rPr>
          <w:rFonts w:hint="eastAsia" w:ascii="Times New Roman" w:hAnsi="Times New Roman" w:eastAsia="仿宋_GB2312"/>
          <w:color w:val="000000" w:themeColor="text1"/>
          <w:sz w:val="32"/>
          <w:szCs w:val="32"/>
          <w14:textFill>
            <w14:solidFill>
              <w14:schemeClr w14:val="tx1"/>
            </w14:solidFill>
          </w14:textFill>
        </w:rPr>
        <w:t>产教融合型职普融通联合培养基地</w:t>
      </w:r>
      <w:bookmarkEnd w:id="4"/>
      <w:r>
        <w:rPr>
          <w:rFonts w:hint="eastAsia" w:ascii="Times New Roman" w:hAnsi="Times New Roman" w:eastAsia="仿宋_GB2312"/>
          <w:color w:val="000000" w:themeColor="text1"/>
          <w:sz w:val="32"/>
          <w:szCs w:val="32"/>
          <w14:textFill>
            <w14:solidFill>
              <w14:schemeClr w14:val="tx1"/>
            </w14:solidFill>
          </w14:textFill>
        </w:rPr>
        <w:t>建设</w:t>
      </w:r>
    </w:p>
    <w:p w14:paraId="6B82FCB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（三）高质量就业方向</w:t>
      </w:r>
    </w:p>
    <w:p w14:paraId="1B262006">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1.大数据赋能的就业服务质量动态评价体系</w:t>
      </w:r>
    </w:p>
    <w:p w14:paraId="20A73F5A">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2.应用型本科高校和</w:t>
      </w:r>
      <w:bookmarkStart w:id="5" w:name="OLE_LINK18"/>
      <w:r>
        <w:rPr>
          <w:rFonts w:ascii="Times New Roman" w:hAnsi="Times New Roman" w:eastAsia="仿宋_GB2312"/>
          <w:color w:val="000000" w:themeColor="text1"/>
          <w:sz w:val="32"/>
          <w:szCs w:val="32"/>
          <w14:textFill>
            <w14:solidFill>
              <w14:schemeClr w14:val="tx1"/>
            </w14:solidFill>
          </w14:textFill>
        </w:rPr>
        <w:t>高等职业学校</w:t>
      </w:r>
      <w:bookmarkEnd w:id="5"/>
      <w:r>
        <w:rPr>
          <w:rFonts w:hint="eastAsia" w:ascii="Times New Roman" w:hAnsi="Times New Roman" w:eastAsia="仿宋_GB2312"/>
          <w:color w:val="000000" w:themeColor="text1"/>
          <w:sz w:val="32"/>
          <w:szCs w:val="32"/>
          <w14:textFill>
            <w14:solidFill>
              <w14:schemeClr w14:val="tx1"/>
            </w14:solidFill>
          </w14:textFill>
        </w:rPr>
        <w:t>的就业生态圈构建</w:t>
      </w:r>
    </w:p>
    <w:p w14:paraId="4B3629E0">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3.大学生职业胜任力评价体系建设实践研究</w:t>
      </w:r>
    </w:p>
    <w:p w14:paraId="77F1497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4.高校就业服务工作数智一体化平台研究与应用</w:t>
      </w:r>
    </w:p>
    <w:p w14:paraId="7E9C6B4A">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5.人工智能与人才岗位胜任模型研究</w:t>
      </w:r>
    </w:p>
    <w:p w14:paraId="0F913DC2">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（四）新技术应用方向</w:t>
      </w:r>
    </w:p>
    <w:p w14:paraId="2A0BCD9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bookmarkStart w:id="6" w:name="OLE_LINK19"/>
      <w:r>
        <w:rPr>
          <w:rFonts w:hint="eastAsia" w:ascii="Times New Roman" w:hAnsi="Times New Roman" w:eastAsia="仿宋_GB2312"/>
          <w:color w:val="000000" w:themeColor="text1"/>
          <w:sz w:val="32"/>
          <w:szCs w:val="32"/>
          <w14:textFill>
            <w14:solidFill>
              <w14:schemeClr w14:val="tx1"/>
            </w14:solidFill>
          </w14:textFill>
        </w:rPr>
        <w:t>教育大模型</w:t>
      </w:r>
      <w:bookmarkEnd w:id="6"/>
      <w:r>
        <w:rPr>
          <w:rFonts w:hint="eastAsia" w:ascii="Times New Roman" w:hAnsi="Times New Roman" w:eastAsia="仿宋_GB2312"/>
          <w:color w:val="000000" w:themeColor="text1"/>
          <w:sz w:val="32"/>
          <w:szCs w:val="32"/>
          <w14:textFill>
            <w14:solidFill>
              <w14:schemeClr w14:val="tx1"/>
            </w14:solidFill>
          </w14:textFill>
        </w:rPr>
        <w:t>在高校中的研究与应用</w:t>
      </w:r>
    </w:p>
    <w:p w14:paraId="21DB0980">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2.5G+智慧教育场景构建与应用</w:t>
      </w:r>
    </w:p>
    <w:p w14:paraId="6B083FB3">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3.数字孪生校园建设标准与实践</w:t>
      </w:r>
    </w:p>
    <w:p w14:paraId="3680ABD1">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4.教育机器人课堂融合模式创新</w:t>
      </w:r>
    </w:p>
    <w:p w14:paraId="014C3916">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w:t>
      </w:r>
      <w:bookmarkStart w:id="7" w:name="OLE_LINK21"/>
      <w:bookmarkStart w:id="8" w:name="OLE_LINK20"/>
      <w:r>
        <w:rPr>
          <w:rFonts w:hint="eastAsia" w:ascii="Times New Roman" w:hAnsi="Times New Roman" w:eastAsia="仿宋_GB2312"/>
          <w:color w:val="000000" w:themeColor="text1"/>
          <w:sz w:val="32"/>
          <w:szCs w:val="32"/>
          <w14:textFill>
            <w14:solidFill>
              <w14:schemeClr w14:val="tx1"/>
            </w14:solidFill>
          </w14:textFill>
        </w:rPr>
        <w:t>教育元宇宙场景构建研究</w:t>
      </w:r>
    </w:p>
    <w:bookmarkEnd w:id="7"/>
    <w:bookmarkEnd w:id="8"/>
    <w:p w14:paraId="6436B165">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6.轨道交通专业群实训就业课程资源开发研究与应用</w:t>
      </w:r>
    </w:p>
    <w:p w14:paraId="21405692">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7.</w:t>
      </w:r>
      <w:bookmarkStart w:id="9" w:name="OLE_LINK22"/>
      <w:r>
        <w:rPr>
          <w:rFonts w:hint="eastAsia" w:ascii="Times New Roman" w:hAnsi="Times New Roman" w:eastAsia="仿宋_GB2312"/>
          <w:color w:val="000000" w:themeColor="text1"/>
          <w:sz w:val="32"/>
          <w:szCs w:val="32"/>
          <w14:textFill>
            <w14:solidFill>
              <w14:schemeClr w14:val="tx1"/>
            </w14:solidFill>
          </w14:textFill>
        </w:rPr>
        <w:t>创新育人模式服务装备制造“智改数转”</w:t>
      </w:r>
      <w:bookmarkEnd w:id="9"/>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研究与实践</w:t>
      </w:r>
    </w:p>
    <w:p w14:paraId="3C45ED0A">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8.人工智能赋能多学科多场景融合新范式探索</w:t>
      </w:r>
    </w:p>
    <w:p w14:paraId="61A375D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9.</w:t>
      </w:r>
      <w:bookmarkStart w:id="10" w:name="OLE_LINK23"/>
      <w:r>
        <w:rPr>
          <w:rFonts w:hint="eastAsia" w:ascii="Times New Roman" w:hAnsi="Times New Roman" w:eastAsia="仿宋_GB2312"/>
          <w:color w:val="000000" w:themeColor="text1"/>
          <w:sz w:val="32"/>
          <w:szCs w:val="32"/>
          <w14:textFill>
            <w14:solidFill>
              <w14:schemeClr w14:val="tx1"/>
            </w14:solidFill>
          </w14:textFill>
        </w:rPr>
        <w:t>AI</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自习室</w:t>
      </w:r>
      <w:bookmarkEnd w:id="10"/>
      <w:r>
        <w:rPr>
          <w:rFonts w:hint="eastAsia" w:ascii="Times New Roman" w:hAnsi="Times New Roman" w:eastAsia="仿宋_GB2312"/>
          <w:color w:val="000000" w:themeColor="text1"/>
          <w:sz w:val="32"/>
          <w:szCs w:val="32"/>
          <w14:textFill>
            <w14:solidFill>
              <w14:schemeClr w14:val="tx1"/>
            </w14:solidFill>
          </w14:textFill>
        </w:rPr>
        <w:t>应用研究</w:t>
      </w:r>
    </w:p>
    <w:p w14:paraId="56ECB7CF">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10.人工智能时代汉语编程探索研究</w:t>
      </w:r>
    </w:p>
    <w:p w14:paraId="52545FF5">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11.基于人工智能的临床医学科研模型构建及应用</w:t>
      </w:r>
    </w:p>
    <w:p w14:paraId="09F21917">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12.人工智能赋能学科建设和人才培养模式创新的策略研究</w:t>
      </w:r>
    </w:p>
    <w:p w14:paraId="27B94E17">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13.人工智能生成内容（</w:t>
      </w:r>
      <w:bookmarkStart w:id="11" w:name="OLE_LINK28"/>
      <w:bookmarkStart w:id="12" w:name="OLE_LINK29"/>
      <w:bookmarkStart w:id="13" w:name="OLE_LINK30"/>
      <w:r>
        <w:rPr>
          <w:rFonts w:hint="eastAsia" w:ascii="Times New Roman" w:hAnsi="Times New Roman" w:eastAsia="仿宋_GB2312"/>
          <w:color w:val="000000" w:themeColor="text1"/>
          <w:sz w:val="32"/>
          <w:szCs w:val="32"/>
          <w14:textFill>
            <w14:solidFill>
              <w14:schemeClr w14:val="tx1"/>
            </w14:solidFill>
          </w14:textFill>
        </w:rPr>
        <w:t>AIGC</w:t>
      </w:r>
      <w:bookmarkEnd w:id="11"/>
      <w:bookmarkEnd w:id="12"/>
      <w:r>
        <w:rPr>
          <w:rFonts w:hint="eastAsia" w:ascii="Times New Roman" w:hAnsi="Times New Roman" w:eastAsia="仿宋_GB2312"/>
          <w:color w:val="000000" w:themeColor="text1"/>
          <w:sz w:val="32"/>
          <w:szCs w:val="32"/>
          <w14:textFill>
            <w14:solidFill>
              <w14:schemeClr w14:val="tx1"/>
            </w14:solidFill>
          </w14:textFill>
        </w:rPr>
        <w:t>）</w:t>
      </w:r>
      <w:bookmarkStart w:id="14" w:name="OLE_LINK27"/>
      <w:r>
        <w:rPr>
          <w:rFonts w:hint="eastAsia" w:ascii="Times New Roman" w:hAnsi="Times New Roman" w:eastAsia="仿宋_GB2312"/>
          <w:color w:val="000000" w:themeColor="text1"/>
          <w:sz w:val="32"/>
          <w:szCs w:val="32"/>
          <w14:textFill>
            <w14:solidFill>
              <w14:schemeClr w14:val="tx1"/>
            </w14:solidFill>
          </w14:textFill>
        </w:rPr>
        <w:t>科研辅助模型</w:t>
      </w:r>
      <w:bookmarkEnd w:id="13"/>
      <w:bookmarkEnd w:id="14"/>
      <w:r>
        <w:rPr>
          <w:rFonts w:hint="eastAsia" w:ascii="Times New Roman" w:hAnsi="Times New Roman" w:eastAsia="仿宋_GB2312"/>
          <w:color w:val="000000" w:themeColor="text1"/>
          <w:sz w:val="32"/>
          <w:szCs w:val="32"/>
          <w14:textFill>
            <w14:solidFill>
              <w14:schemeClr w14:val="tx1"/>
            </w14:solidFill>
          </w14:textFill>
        </w:rPr>
        <w:t>研究</w:t>
      </w:r>
    </w:p>
    <w:p w14:paraId="0AF58DD1">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14.人工智能驱动的医学统计分析模式及应用研究</w:t>
      </w:r>
    </w:p>
    <w:p w14:paraId="094E4D04">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15.人工智能与精准营养新技术融合创新研究与规模化应用</w:t>
      </w:r>
    </w:p>
    <w:p w14:paraId="1BED4DE0">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16.人体微生态调节领域产学研用研究与规模化应用</w:t>
      </w:r>
    </w:p>
    <w:p w14:paraId="79D13F6C">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17.产学研用促进慢性病与重大疾病患者生活质量提升研究</w:t>
      </w:r>
    </w:p>
    <w:p w14:paraId="6B7B0326">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18.儿童</w:t>
      </w:r>
      <w:bookmarkStart w:id="15" w:name="OLE_LINK32"/>
      <w:r>
        <w:rPr>
          <w:rFonts w:hint="eastAsia" w:ascii="Times New Roman" w:hAnsi="Times New Roman" w:eastAsia="仿宋_GB2312"/>
          <w:color w:val="000000" w:themeColor="text1"/>
          <w:sz w:val="32"/>
          <w:szCs w:val="32"/>
          <w14:textFill>
            <w14:solidFill>
              <w14:schemeClr w14:val="tx1"/>
            </w14:solidFill>
          </w14:textFill>
        </w:rPr>
        <w:t>成长发育</w:t>
      </w:r>
      <w:bookmarkEnd w:id="15"/>
      <w:r>
        <w:rPr>
          <w:rFonts w:hint="eastAsia" w:ascii="Times New Roman" w:hAnsi="Times New Roman" w:eastAsia="仿宋_GB2312"/>
          <w:color w:val="000000" w:themeColor="text1"/>
          <w:sz w:val="32"/>
          <w:szCs w:val="32"/>
          <w14:textFill>
            <w14:solidFill>
              <w14:schemeClr w14:val="tx1"/>
            </w14:solidFill>
          </w14:textFill>
        </w:rPr>
        <w:t>领域产学研用合作研究与应用</w:t>
      </w:r>
    </w:p>
    <w:p w14:paraId="6934BED1">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19.虚拟仿真技术在青少年科技创新中的应用</w:t>
      </w:r>
    </w:p>
    <w:p w14:paraId="14FF46C2">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20.人工智能赋能个性化学习——自适应学习系统</w:t>
      </w:r>
      <w:r>
        <w:rPr>
          <w:rFonts w:ascii="Times New Roman" w:hAnsi="Times New Roman" w:eastAsia="仿宋_GB2312"/>
          <w:color w:val="000000" w:themeColor="text1"/>
          <w:sz w:val="32"/>
          <w:szCs w:val="32"/>
          <w14:textFill>
            <w14:solidFill>
              <w14:schemeClr w14:val="tx1"/>
            </w14:solidFill>
          </w14:textFill>
        </w:rPr>
        <w:t>应用研究</w:t>
      </w:r>
    </w:p>
    <w:p w14:paraId="5E0068D7">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1.智能机器人与人工智能大模型在研学实践中的应用</w:t>
      </w:r>
      <w:r>
        <w:rPr>
          <w:rFonts w:ascii="Times New Roman" w:hAnsi="Times New Roman" w:eastAsia="仿宋_GB2312"/>
          <w:color w:val="000000" w:themeColor="text1"/>
          <w:sz w:val="32"/>
          <w:szCs w:val="32"/>
          <w14:textFill>
            <w14:solidFill>
              <w14:schemeClr w14:val="tx1"/>
            </w14:solidFill>
          </w14:textFill>
        </w:rPr>
        <w:t>研究</w:t>
      </w:r>
    </w:p>
    <w:p w14:paraId="50C2E722">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2.</w:t>
      </w:r>
      <w:bookmarkStart w:id="16" w:name="OLE_LINK34"/>
      <w:bookmarkStart w:id="17" w:name="OLE_LINK35"/>
      <w:r>
        <w:rPr>
          <w:rFonts w:hint="eastAsia" w:ascii="Times New Roman" w:hAnsi="Times New Roman" w:eastAsia="仿宋_GB2312"/>
          <w:color w:val="000000" w:themeColor="text1"/>
          <w:sz w:val="32"/>
          <w:szCs w:val="32"/>
          <w14:textFill>
            <w14:solidFill>
              <w14:schemeClr w14:val="tx1"/>
            </w14:solidFill>
          </w14:textFill>
        </w:rPr>
        <w:t>新业态</w:t>
      </w:r>
      <w:bookmarkEnd w:id="16"/>
      <w:bookmarkEnd w:id="17"/>
      <w:r>
        <w:rPr>
          <w:rFonts w:hint="eastAsia" w:ascii="Times New Roman" w:hAnsi="Times New Roman" w:eastAsia="仿宋_GB2312"/>
          <w:color w:val="000000" w:themeColor="text1"/>
          <w:sz w:val="32"/>
          <w:szCs w:val="32"/>
          <w14:textFill>
            <w14:solidFill>
              <w14:schemeClr w14:val="tx1"/>
            </w14:solidFill>
          </w14:textFill>
        </w:rPr>
        <w:t>职业体验研学研究</w:t>
      </w:r>
    </w:p>
    <w:p w14:paraId="6029D3D3">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pacing w:val="-6"/>
          <w:sz w:val="32"/>
          <w:szCs w:val="32"/>
          <w14:textFill>
            <w14:solidFill>
              <w14:schemeClr w14:val="tx1"/>
            </w14:solidFill>
          </w14:textFill>
        </w:rPr>
        <w:t>红色研学数字资源建设——</w:t>
      </w:r>
      <w:bookmarkStart w:id="18" w:name="OLE_LINK33"/>
      <w:r>
        <w:rPr>
          <w:rFonts w:hint="eastAsia" w:ascii="Times New Roman" w:hAnsi="Times New Roman" w:eastAsia="仿宋_GB2312"/>
          <w:color w:val="000000" w:themeColor="text1"/>
          <w:spacing w:val="-6"/>
          <w:sz w:val="32"/>
          <w:szCs w:val="32"/>
          <w14:textFill>
            <w14:solidFill>
              <w14:schemeClr w14:val="tx1"/>
            </w14:solidFill>
          </w14:textFill>
        </w:rPr>
        <w:t>VR/AR</w:t>
      </w:r>
      <w:bookmarkEnd w:id="18"/>
      <w:r>
        <w:rPr>
          <w:rFonts w:hint="eastAsia" w:ascii="Times New Roman" w:hAnsi="Times New Roman" w:eastAsia="仿宋_GB2312"/>
          <w:color w:val="000000" w:themeColor="text1"/>
          <w:spacing w:val="-6"/>
          <w:sz w:val="32"/>
          <w:szCs w:val="32"/>
          <w14:textFill>
            <w14:solidFill>
              <w14:schemeClr w14:val="tx1"/>
            </w14:solidFill>
          </w14:textFill>
        </w:rPr>
        <w:t>场景还原革命历史事件</w:t>
      </w:r>
    </w:p>
    <w:p w14:paraId="51AAC8F3">
      <w:pPr>
        <w:spacing w:line="560" w:lineRule="exact"/>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二、课题申报条件</w:t>
      </w:r>
    </w:p>
    <w:p w14:paraId="30F5F666">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1.课题负责人应在相关研究领域有一定的成果积累，每人限报一项课题。课题组成员不少于3人，可以包含有关用人单位、研究机构人员，人员结构合理，分工明确。</w:t>
      </w:r>
    </w:p>
    <w:p w14:paraId="5A15DF1C">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2.课题根据</w:t>
      </w:r>
      <w:r>
        <w:rPr>
          <w:rFonts w:ascii="Times New Roman" w:hAnsi="Times New Roman" w:eastAsia="仿宋_GB2312"/>
          <w:color w:val="000000" w:themeColor="text1"/>
          <w:sz w:val="32"/>
          <w:szCs w:val="32"/>
          <w14:textFill>
            <w14:solidFill>
              <w14:schemeClr w14:val="tx1"/>
            </w14:solidFill>
          </w14:textFill>
        </w:rPr>
        <w:t>课题经费分为</w:t>
      </w:r>
      <w:r>
        <w:rPr>
          <w:rFonts w:hint="eastAsia" w:ascii="Times New Roman" w:hAnsi="Times New Roman" w:eastAsia="仿宋_GB2312"/>
          <w:color w:val="000000" w:themeColor="text1"/>
          <w:sz w:val="32"/>
          <w:szCs w:val="32"/>
          <w14:textFill>
            <w14:solidFill>
              <w14:schemeClr w14:val="tx1"/>
            </w14:solidFill>
          </w14:textFill>
        </w:rPr>
        <w:t>一般课题、重点课题和重大课题。一般课题主持人应</w:t>
      </w:r>
      <w:bookmarkStart w:id="19" w:name="OLE_LINK42"/>
      <w:r>
        <w:rPr>
          <w:rFonts w:hint="eastAsia" w:ascii="Times New Roman" w:hAnsi="Times New Roman" w:eastAsia="仿宋_GB2312"/>
          <w:color w:val="000000" w:themeColor="text1"/>
          <w:sz w:val="32"/>
          <w:szCs w:val="32"/>
          <w14:textFill>
            <w14:solidFill>
              <w14:schemeClr w14:val="tx1"/>
            </w14:solidFill>
          </w14:textFill>
        </w:rPr>
        <w:t>具有中级职称</w:t>
      </w:r>
      <w:bookmarkEnd w:id="19"/>
      <w:r>
        <w:rPr>
          <w:rFonts w:hint="eastAsia" w:ascii="Times New Roman" w:hAnsi="Times New Roman" w:eastAsia="仿宋_GB2312"/>
          <w:color w:val="000000" w:themeColor="text1"/>
          <w:sz w:val="32"/>
          <w:szCs w:val="32"/>
          <w14:textFill>
            <w14:solidFill>
              <w14:schemeClr w14:val="tx1"/>
            </w14:solidFill>
          </w14:textFill>
        </w:rPr>
        <w:t>（讲师、中小学一级教师、助理研究员）。重点和重大课题主持人应</w:t>
      </w:r>
      <w:bookmarkStart w:id="20" w:name="OLE_LINK45"/>
      <w:r>
        <w:rPr>
          <w:rFonts w:hint="eastAsia" w:ascii="Times New Roman" w:hAnsi="Times New Roman" w:eastAsia="仿宋_GB2312"/>
          <w:color w:val="000000" w:themeColor="text1"/>
          <w:sz w:val="32"/>
          <w:szCs w:val="32"/>
          <w14:textFill>
            <w14:solidFill>
              <w14:schemeClr w14:val="tx1"/>
            </w14:solidFill>
          </w14:textFill>
        </w:rPr>
        <w:t>具有高级专业技术职称</w:t>
      </w:r>
      <w:bookmarkEnd w:id="20"/>
      <w:r>
        <w:rPr>
          <w:rFonts w:hint="eastAsia" w:ascii="Times New Roman" w:hAnsi="Times New Roman" w:eastAsia="仿宋_GB2312"/>
          <w:color w:val="000000" w:themeColor="text1"/>
          <w:sz w:val="32"/>
          <w:szCs w:val="32"/>
          <w14:textFill>
            <w14:solidFill>
              <w14:schemeClr w14:val="tx1"/>
            </w14:solidFill>
          </w14:textFill>
        </w:rPr>
        <w:t>（高等学校副教授和相应职称及以上、中专高级讲师及以上、中小学高级教师或高级科研助理及以上，不具备高级专业技术职称者申报时须有两名高级专业技术职称人员的推荐）。</w:t>
      </w:r>
    </w:p>
    <w:p w14:paraId="52A75693">
      <w:pPr>
        <w:spacing w:line="560" w:lineRule="exact"/>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三、课题要求</w:t>
      </w:r>
    </w:p>
    <w:p w14:paraId="3CF7B3AE">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1.课题研究应注重应用性与创新性，以</w:t>
      </w:r>
      <w:r>
        <w:rPr>
          <w:rFonts w:ascii="Times New Roman" w:hAnsi="Times New Roman" w:eastAsia="仿宋_GB2312"/>
          <w:color w:val="000000" w:themeColor="text1"/>
          <w:sz w:val="32"/>
          <w:szCs w:val="32"/>
          <w14:textFill>
            <w14:solidFill>
              <w14:schemeClr w14:val="tx1"/>
            </w14:solidFill>
          </w14:textFill>
        </w:rPr>
        <w:t>总结既有经验和案例为基础，体现可操作性，</w:t>
      </w:r>
      <w:r>
        <w:rPr>
          <w:rFonts w:hint="eastAsia" w:ascii="Times New Roman" w:hAnsi="Times New Roman" w:eastAsia="仿宋_GB2312"/>
          <w:color w:val="000000" w:themeColor="text1"/>
          <w:sz w:val="32"/>
          <w:szCs w:val="32"/>
          <w14:textFill>
            <w14:solidFill>
              <w14:schemeClr w14:val="tx1"/>
            </w14:solidFill>
          </w14:textFill>
        </w:rPr>
        <w:t>具有实践应用的价值</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注重形成标准体系、制度体系、实施意见、工作指南、技术方案</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案例库</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课程体系及教材资源等可落地的成果。</w:t>
      </w:r>
    </w:p>
    <w:p w14:paraId="745EBA3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.立项课题研究工作完成后，课题承担单位提出验收申请，规建中心联合北京创新研究所组织结题验收。验收通过的</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规建中心将为课题组颁发课题结题证明；验收未通过的，将给予6个月的补充研究或修改时间，完成后再次验收。</w:t>
      </w:r>
    </w:p>
    <w:p w14:paraId="5BDA97F4">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3.课题负责人需做好经费使用管理，在申报时做好</w:t>
      </w:r>
      <w:r>
        <w:rPr>
          <w:rFonts w:ascii="Times New Roman" w:hAnsi="Times New Roman" w:eastAsia="仿宋_GB2312"/>
          <w:color w:val="000000" w:themeColor="text1"/>
          <w:sz w:val="32"/>
          <w:szCs w:val="32"/>
          <w14:textFill>
            <w14:solidFill>
              <w14:schemeClr w14:val="tx1"/>
            </w14:solidFill>
          </w14:textFill>
        </w:rPr>
        <w:t>经费预算，</w:t>
      </w:r>
      <w:r>
        <w:rPr>
          <w:rFonts w:hint="eastAsia" w:ascii="Times New Roman" w:hAnsi="Times New Roman" w:eastAsia="仿宋_GB2312"/>
          <w:color w:val="000000" w:themeColor="text1"/>
          <w:sz w:val="32"/>
          <w:szCs w:val="32"/>
          <w14:textFill>
            <w14:solidFill>
              <w14:schemeClr w14:val="tx1"/>
            </w14:solidFill>
          </w14:textFill>
        </w:rPr>
        <w:t>在</w:t>
      </w:r>
      <w:r>
        <w:rPr>
          <w:rFonts w:ascii="Times New Roman" w:hAnsi="Times New Roman" w:eastAsia="仿宋_GB2312"/>
          <w:color w:val="000000" w:themeColor="text1"/>
          <w:sz w:val="32"/>
          <w:szCs w:val="32"/>
          <w14:textFill>
            <w14:solidFill>
              <w14:schemeClr w14:val="tx1"/>
            </w14:solidFill>
          </w14:textFill>
        </w:rPr>
        <w:t>结题</w:t>
      </w:r>
      <w:r>
        <w:rPr>
          <w:rFonts w:hint="eastAsia" w:ascii="Times New Roman" w:hAnsi="Times New Roman" w:eastAsia="仿宋_GB2312"/>
          <w:color w:val="000000" w:themeColor="text1"/>
          <w:sz w:val="32"/>
          <w:szCs w:val="32"/>
          <w14:textFill>
            <w14:solidFill>
              <w14:schemeClr w14:val="tx1"/>
            </w14:solidFill>
          </w14:textFill>
        </w:rPr>
        <w:t>时提交</w:t>
      </w:r>
      <w:r>
        <w:rPr>
          <w:rFonts w:ascii="Times New Roman" w:hAnsi="Times New Roman" w:eastAsia="仿宋_GB2312"/>
          <w:color w:val="000000" w:themeColor="text1"/>
          <w:sz w:val="32"/>
          <w:szCs w:val="32"/>
          <w14:textFill>
            <w14:solidFill>
              <w14:schemeClr w14:val="tx1"/>
            </w14:solidFill>
          </w14:textFill>
        </w:rPr>
        <w:t>经费决算表。</w:t>
      </w:r>
    </w:p>
    <w:p w14:paraId="36AE949D">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.课题产生的知识产权归属由课题申请方和出资方根据具体贡献情况协商确定。</w:t>
      </w:r>
    </w:p>
    <w:p w14:paraId="19EB5B36">
      <w:pPr>
        <w:spacing w:line="560" w:lineRule="exact"/>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四、课题支持办法</w:t>
      </w:r>
    </w:p>
    <w:p w14:paraId="158DFE6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.课题研究周期为1年，个别课题需要延长的可根据课题复杂程度适度延长执行周期，延长时间不超过1年。</w:t>
      </w:r>
    </w:p>
    <w:p w14:paraId="3CB65F91">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2.北京创新研究所协调相关支持单位，为课题研究提供现金、软硬件设施、素材资源及技术援助等支持，课题负责人需做好经费使用管理。</w:t>
      </w:r>
    </w:p>
    <w:p w14:paraId="2FE78418">
      <w:r>
        <w:rPr>
          <w:rFonts w:hint="eastAsia" w:ascii="Times New Roman" w:hAnsi="Times New Roman" w:eastAsia="仿宋_GB2312"/>
          <w:color w:val="000000" w:themeColor="text1"/>
          <w:sz w:val="32"/>
          <w:szCs w:val="32"/>
          <w14:textFill>
            <w14:solidFill>
              <w14:schemeClr w14:val="tx1"/>
            </w14:solidFill>
          </w14:textFill>
        </w:rPr>
        <w:t>3.课题经费</w:t>
      </w:r>
      <w:r>
        <w:rPr>
          <w:rFonts w:ascii="Times New Roman" w:hAnsi="Times New Roman" w:eastAsia="仿宋_GB2312"/>
          <w:color w:val="000000" w:themeColor="text1"/>
          <w:sz w:val="32"/>
          <w:szCs w:val="32"/>
          <w14:textFill>
            <w14:solidFill>
              <w14:schemeClr w14:val="tx1"/>
            </w14:solidFill>
          </w14:textFill>
        </w:rPr>
        <w:t>包含现金和软硬件设施</w:t>
      </w:r>
      <w:r>
        <w:rPr>
          <w:rFonts w:hint="eastAsia" w:ascii="Times New Roman" w:hAnsi="Times New Roman" w:eastAsia="仿宋_GB2312"/>
          <w:color w:val="000000" w:themeColor="text1"/>
          <w:sz w:val="32"/>
          <w:szCs w:val="32"/>
          <w14:textFill>
            <w14:solidFill>
              <w14:schemeClr w14:val="tx1"/>
            </w14:solidFill>
          </w14:textFill>
        </w:rPr>
        <w:t>；一般课题经费为2-5万元人民币，重点课题经费为5（不含）-20万元人民币，重大课题经费为20万元人民币以上；</w:t>
      </w:r>
      <w:r>
        <w:rPr>
          <w:rFonts w:ascii="Times New Roman" w:hAnsi="Times New Roman" w:eastAsia="仿宋_GB2312"/>
          <w:color w:val="000000" w:themeColor="text1"/>
          <w:sz w:val="32"/>
          <w:szCs w:val="32"/>
          <w14:textFill>
            <w14:solidFill>
              <w14:schemeClr w14:val="tx1"/>
            </w14:solidFill>
          </w14:textFill>
        </w:rPr>
        <w:t>课题</w:t>
      </w:r>
      <w:r>
        <w:rPr>
          <w:rFonts w:hint="eastAsia" w:ascii="Times New Roman" w:hAnsi="Times New Roman" w:eastAsia="仿宋_GB2312"/>
          <w:color w:val="000000" w:themeColor="text1"/>
          <w:sz w:val="32"/>
          <w:szCs w:val="32"/>
          <w14:textFill>
            <w14:solidFill>
              <w14:schemeClr w14:val="tx1"/>
            </w14:solidFill>
          </w14:textFill>
        </w:rPr>
        <w:t>经费数额根据研究难度、目的意义及工作量大小等因素</w:t>
      </w:r>
      <w:r>
        <w:rPr>
          <w:rFonts w:ascii="Times New Roman" w:hAnsi="Times New Roman" w:eastAsia="仿宋_GB2312"/>
          <w:color w:val="000000" w:themeColor="text1"/>
          <w:sz w:val="32"/>
          <w:szCs w:val="32"/>
          <w14:textFill>
            <w14:solidFill>
              <w14:schemeClr w14:val="tx1"/>
            </w14:solidFill>
          </w14:textFill>
        </w:rPr>
        <w:t>确定</w:t>
      </w:r>
      <w:r>
        <w:rPr>
          <w:rFonts w:hint="eastAsia" w:ascii="Times New Roman" w:hAnsi="Times New Roman" w:eastAsia="仿宋_GB2312"/>
          <w:color w:val="000000" w:themeColor="text1"/>
          <w:sz w:val="32"/>
          <w:szCs w:val="32"/>
          <w14:textFill>
            <w14:solidFill>
              <w14:schemeClr w14:val="tx1"/>
            </w14:solidFill>
          </w14:textFill>
        </w:rPr>
        <w:t>。</w:t>
      </w:r>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F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2025-04-14T03:14:33Z</dcterms:created>
  <dc:creator>Administrator</dc:creator>
  <cp:lastModifiedBy>Gardenia</cp:lastModifiedBy>
  <dcterms:modified xsi:type="dcterms:W3CDTF">2025-04-14T03:15:20Z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eyJoZGlkIjoiNWMzYTkzODUwZGZkOWVmM2E5NjI0NDE1MjRiYWQyMjEiLCJ1c2VySWQiOiIzNzE5NzE3MzgifQ==</vt:lpwstr>
  </property>
  <property fmtid="{D5CDD505-2E9C-101B-9397-08002B2CF9AE}" pid="4" name="ICV">
    <vt:lpwstr>A23FA1357EC54D90A6A4E2F1C6E24704_12</vt:lpwstr>
  </property>
</Properties>
</file>